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beforeLines="50" w:afterLines="100"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江门</w:t>
      </w:r>
      <w:r>
        <w:rPr>
          <w:rFonts w:hint="eastAsia" w:ascii="方正小标宋简体" w:hAnsi="仿宋" w:eastAsia="方正小标宋简体" w:cs="方正仿宋简体"/>
          <w:bCs/>
          <w:color w:val="000000"/>
          <w:sz w:val="32"/>
          <w:szCs w:val="32"/>
        </w:rPr>
        <w:t>市食品相关产品标签标识监督抽查</w:t>
      </w:r>
      <w:r>
        <w:rPr>
          <w:rFonts w:hint="eastAsia" w:ascii="方正小标宋简体" w:hAnsi="仿宋" w:eastAsia="方正小标宋简体" w:cs="方正仿宋简体"/>
          <w:color w:val="000000"/>
          <w:sz w:val="32"/>
          <w:szCs w:val="32"/>
        </w:rPr>
        <w:t>实施细则</w:t>
      </w:r>
    </w:p>
    <w:p>
      <w:pPr>
        <w:widowControl/>
        <w:spacing w:line="360" w:lineRule="auto"/>
        <w:ind w:firstLine="420" w:firstLineChars="200"/>
        <w:jc w:val="left"/>
        <w:rPr>
          <w:rFonts w:ascii="宋体" w:hAnsi="宋体"/>
          <w:color w:val="000000"/>
          <w:szCs w:val="21"/>
        </w:rPr>
      </w:pPr>
      <w:r>
        <w:rPr>
          <w:rFonts w:hint="eastAsia" w:ascii="宋体" w:hAnsi="宋体"/>
          <w:color w:val="000000"/>
          <w:szCs w:val="21"/>
        </w:rPr>
        <w:t>本细则适用于江门市生产环节中食品相关产品标签标识</w:t>
      </w:r>
      <w:r>
        <w:rPr>
          <w:rFonts w:hint="eastAsia" w:ascii="宋体" w:hAnsi="宋体"/>
          <w:color w:val="000000"/>
          <w:szCs w:val="21"/>
          <w:lang w:eastAsia="zh-CN"/>
        </w:rPr>
        <w:t>的</w:t>
      </w:r>
      <w:r>
        <w:rPr>
          <w:rFonts w:hint="eastAsia" w:ascii="宋体" w:hAnsi="宋体"/>
          <w:color w:val="000000"/>
          <w:szCs w:val="21"/>
        </w:rPr>
        <w:t>市级监督抽查。</w:t>
      </w:r>
    </w:p>
    <w:p>
      <w:pPr>
        <w:snapToGrid w:val="0"/>
        <w:spacing w:line="360" w:lineRule="auto"/>
        <w:ind w:firstLine="420" w:firstLineChars="200"/>
      </w:pPr>
    </w:p>
    <w:p>
      <w:pPr>
        <w:snapToGrid w:val="0"/>
        <w:spacing w:line="360" w:lineRule="auto"/>
        <w:rPr>
          <w:b/>
          <w:color w:val="000000"/>
          <w:sz w:val="24"/>
        </w:rPr>
      </w:pPr>
      <w:r>
        <w:rPr>
          <w:rFonts w:hint="eastAsia"/>
          <w:b/>
          <w:color w:val="000000"/>
          <w:sz w:val="24"/>
        </w:rPr>
        <w:t>1 抽样方法</w:t>
      </w:r>
    </w:p>
    <w:p>
      <w:pPr>
        <w:widowControl/>
        <w:spacing w:line="360" w:lineRule="auto"/>
        <w:ind w:firstLine="420" w:firstLineChars="200"/>
        <w:jc w:val="left"/>
        <w:rPr>
          <w:rFonts w:hint="eastAsia" w:ascii="宋体" w:hAnsi="宋体"/>
          <w:color w:val="000000"/>
          <w:szCs w:val="21"/>
        </w:rPr>
      </w:pPr>
      <w:r>
        <w:rPr>
          <w:rFonts w:hint="eastAsia" w:ascii="宋体" w:hAnsi="宋体"/>
          <w:color w:val="000000"/>
          <w:szCs w:val="21"/>
        </w:rPr>
        <w:t>以随机抽样的方式在被抽样生产者的待销产品中抽取。</w:t>
      </w:r>
    </w:p>
    <w:p>
      <w:pPr>
        <w:widowControl/>
        <w:spacing w:line="360" w:lineRule="auto"/>
        <w:ind w:firstLine="420" w:firstLineChars="200"/>
        <w:jc w:val="left"/>
        <w:rPr>
          <w:rFonts w:hint="eastAsia" w:ascii="宋体" w:hAnsi="宋体"/>
          <w:color w:val="000000"/>
          <w:szCs w:val="21"/>
        </w:rPr>
      </w:pPr>
      <w:r>
        <w:rPr>
          <w:rFonts w:hint="eastAsia" w:ascii="宋体" w:hAnsi="宋体"/>
          <w:color w:val="000000"/>
          <w:szCs w:val="21"/>
        </w:rPr>
        <w:t>随机数一般可使用随机数表、随机数骰子或扑克牌等方法产生。</w:t>
      </w:r>
    </w:p>
    <w:p>
      <w:pPr>
        <w:widowControl/>
        <w:spacing w:line="360" w:lineRule="auto"/>
        <w:ind w:firstLine="420" w:firstLineChars="200"/>
        <w:jc w:val="left"/>
        <w:rPr>
          <w:rFonts w:hint="eastAsia" w:ascii="宋体" w:hAnsi="宋体"/>
          <w:color w:val="000000"/>
          <w:szCs w:val="21"/>
        </w:rPr>
      </w:pPr>
      <w:r>
        <w:rPr>
          <w:rFonts w:hint="eastAsia" w:ascii="宋体" w:hAnsi="宋体"/>
          <w:color w:val="000000"/>
          <w:szCs w:val="21"/>
        </w:rPr>
        <w:t xml:space="preserve">样品不少于5件完整包装产品，3件作为检验样品，2件作为复检备用样品，（完整包装产品应为最小销售包装，同时应包含产品标签、说明书、产品合格证明、随附文件等）。 </w:t>
      </w:r>
    </w:p>
    <w:p>
      <w:pPr>
        <w:snapToGrid w:val="0"/>
        <w:spacing w:line="360" w:lineRule="auto"/>
        <w:ind w:firstLine="420" w:firstLineChars="200"/>
        <w:rPr>
          <w:rFonts w:ascii="宋体" w:hAnsi="宋体"/>
          <w:color w:val="000000"/>
          <w:szCs w:val="21"/>
        </w:rPr>
      </w:pPr>
    </w:p>
    <w:p>
      <w:pPr>
        <w:snapToGrid w:val="0"/>
        <w:spacing w:line="360" w:lineRule="auto"/>
        <w:rPr>
          <w:rFonts w:ascii="仿宋_GB2312" w:hAnsi="仿宋_GB2312" w:eastAsia="仿宋_GB2312" w:cs="仿宋_GB2312"/>
          <w:kern w:val="0"/>
          <w:sz w:val="28"/>
          <w:szCs w:val="28"/>
        </w:rPr>
      </w:pPr>
      <w:r>
        <w:rPr>
          <w:rFonts w:hint="eastAsia"/>
          <w:b/>
          <w:color w:val="000000"/>
          <w:sz w:val="24"/>
        </w:rPr>
        <w:t>2 检验依据</w:t>
      </w:r>
    </w:p>
    <w:p>
      <w:pPr>
        <w:snapToGrid w:val="0"/>
        <w:spacing w:line="360" w:lineRule="auto"/>
        <w:jc w:val="center"/>
        <w:rPr>
          <w:color w:val="000000"/>
          <w:szCs w:val="21"/>
        </w:rPr>
      </w:pPr>
      <w:r>
        <w:rPr>
          <w:rFonts w:hint="eastAsia"/>
          <w:color w:val="000000"/>
          <w:szCs w:val="21"/>
        </w:rPr>
        <w:t>表1  产品标签标识检验项目</w:t>
      </w: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1421"/>
        <w:gridCol w:w="2127"/>
        <w:gridCol w:w="1842"/>
        <w:gridCol w:w="1374"/>
        <w:gridCol w:w="1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jc w:val="center"/>
        </w:trPr>
        <w:tc>
          <w:tcPr>
            <w:tcW w:w="67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ascii="宋体" w:hAnsi="宋体"/>
                <w:b/>
                <w:color w:val="000000"/>
                <w:szCs w:val="21"/>
              </w:rPr>
            </w:pPr>
            <w:r>
              <w:rPr>
                <w:rFonts w:hint="eastAsia" w:ascii="宋体" w:hAnsi="宋体"/>
                <w:b/>
                <w:color w:val="000000"/>
                <w:szCs w:val="21"/>
              </w:rPr>
              <w:t>序号</w:t>
            </w:r>
          </w:p>
        </w:tc>
        <w:tc>
          <w:tcPr>
            <w:tcW w:w="3548"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ascii="宋体" w:hAnsi="宋体"/>
                <w:b/>
                <w:color w:val="000000"/>
                <w:szCs w:val="21"/>
              </w:rPr>
            </w:pPr>
            <w:r>
              <w:rPr>
                <w:rFonts w:hint="eastAsia" w:ascii="宋体" w:hAnsi="宋体"/>
                <w:b/>
                <w:color w:val="000000"/>
                <w:szCs w:val="21"/>
              </w:rPr>
              <w:t>检验项目</w:t>
            </w:r>
          </w:p>
        </w:tc>
        <w:tc>
          <w:tcPr>
            <w:tcW w:w="184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ascii="宋体" w:hAnsi="宋体"/>
                <w:b/>
                <w:color w:val="000000"/>
                <w:szCs w:val="21"/>
              </w:rPr>
            </w:pPr>
            <w:r>
              <w:rPr>
                <w:rFonts w:hint="eastAsia" w:ascii="宋体" w:hAnsi="宋体"/>
                <w:b/>
                <w:color w:val="000000"/>
                <w:szCs w:val="21"/>
              </w:rPr>
              <w:t>检验依据</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ascii="宋体" w:hAnsi="宋体"/>
                <w:b/>
                <w:color w:val="000000"/>
                <w:szCs w:val="21"/>
              </w:rPr>
            </w:pPr>
            <w:r>
              <w:rPr>
                <w:rFonts w:hint="eastAsia" w:ascii="宋体" w:hAnsi="宋体"/>
                <w:b/>
                <w:color w:val="000000"/>
                <w:szCs w:val="21"/>
              </w:rPr>
              <w:t>检验方法</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outlineLvl w:val="0"/>
              <w:rPr>
                <w:rFonts w:ascii="宋体" w:hAnsi="宋体"/>
                <w:b/>
                <w:color w:val="000000"/>
                <w:szCs w:val="21"/>
              </w:rPr>
            </w:pPr>
            <w:r>
              <w:rPr>
                <w:rFonts w:hint="eastAsia" w:ascii="宋体" w:hAnsi="宋体"/>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jc w:val="center"/>
        </w:trPr>
        <w:tc>
          <w:tcPr>
            <w:tcW w:w="672" w:type="dxa"/>
            <w:vMerge w:val="restart"/>
            <w:tcBorders>
              <w:top w:val="single" w:color="auto" w:sz="4" w:space="0"/>
              <w:left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1</w:t>
            </w:r>
          </w:p>
        </w:tc>
        <w:tc>
          <w:tcPr>
            <w:tcW w:w="1421" w:type="dxa"/>
            <w:vMerge w:val="restart"/>
            <w:tcBorders>
              <w:top w:val="single" w:color="auto" w:sz="4" w:space="0"/>
              <w:left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产品标签标识（食品用纸制品、食品用金属制品、塑料奶瓶、奶嘴等）</w:t>
            </w:r>
          </w:p>
        </w:tc>
        <w:tc>
          <w:tcPr>
            <w:tcW w:w="212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标识内容</w:t>
            </w:r>
          </w:p>
        </w:tc>
        <w:tc>
          <w:tcPr>
            <w:tcW w:w="1842"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GB 4806.1</w:t>
            </w:r>
          </w:p>
          <w:p>
            <w:pPr>
              <w:widowControl/>
              <w:spacing w:line="360" w:lineRule="auto"/>
              <w:jc w:val="center"/>
              <w:textAlignment w:val="center"/>
              <w:rPr>
                <w:rFonts w:cs="宋体"/>
                <w:szCs w:val="21"/>
              </w:rPr>
            </w:pPr>
            <w:r>
              <w:rPr>
                <w:rFonts w:hint="eastAsia" w:cs="宋体"/>
                <w:szCs w:val="21"/>
              </w:rPr>
              <w:t>GB 4806.7</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GB 4806.1</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672" w:type="dxa"/>
            <w:vMerge w:val="continue"/>
            <w:tcBorders>
              <w:left w:val="single" w:color="auto" w:sz="4" w:space="0"/>
              <w:right w:val="single" w:color="auto" w:sz="4" w:space="0"/>
            </w:tcBorders>
            <w:noWrap w:val="0"/>
            <w:vAlign w:val="center"/>
          </w:tcPr>
          <w:p>
            <w:pPr>
              <w:spacing w:line="360" w:lineRule="auto"/>
              <w:jc w:val="center"/>
              <w:textAlignment w:val="center"/>
              <w:rPr>
                <w:rFonts w:cs="宋体"/>
                <w:szCs w:val="21"/>
              </w:rPr>
            </w:pPr>
          </w:p>
        </w:tc>
        <w:tc>
          <w:tcPr>
            <w:tcW w:w="1421" w:type="dxa"/>
            <w:vMerge w:val="continue"/>
            <w:tcBorders>
              <w:left w:val="single" w:color="auto" w:sz="4" w:space="0"/>
              <w:right w:val="single" w:color="auto" w:sz="4" w:space="0"/>
            </w:tcBorders>
            <w:noWrap w:val="0"/>
            <w:vAlign w:val="center"/>
          </w:tcPr>
          <w:p>
            <w:pPr>
              <w:widowControl/>
              <w:spacing w:line="360" w:lineRule="auto"/>
              <w:jc w:val="center"/>
              <w:textAlignment w:val="center"/>
              <w:rPr>
                <w:rFonts w:cs="宋体"/>
                <w:szCs w:val="21"/>
              </w:rPr>
            </w:pPr>
          </w:p>
        </w:tc>
        <w:tc>
          <w:tcPr>
            <w:tcW w:w="212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符合性声明</w:t>
            </w:r>
          </w:p>
        </w:tc>
        <w:tc>
          <w:tcPr>
            <w:tcW w:w="1842"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GB 4806.1</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GB 4806.1</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672" w:type="dxa"/>
            <w:vMerge w:val="continue"/>
            <w:tcBorders>
              <w:left w:val="single" w:color="auto" w:sz="4" w:space="0"/>
              <w:right w:val="single" w:color="auto" w:sz="4" w:space="0"/>
            </w:tcBorders>
            <w:noWrap w:val="0"/>
            <w:vAlign w:val="center"/>
          </w:tcPr>
          <w:p>
            <w:pPr>
              <w:spacing w:line="360" w:lineRule="auto"/>
              <w:jc w:val="center"/>
              <w:textAlignment w:val="center"/>
              <w:rPr>
                <w:rFonts w:cs="宋体"/>
                <w:szCs w:val="21"/>
              </w:rPr>
            </w:pPr>
          </w:p>
        </w:tc>
        <w:tc>
          <w:tcPr>
            <w:tcW w:w="1421" w:type="dxa"/>
            <w:vMerge w:val="continue"/>
            <w:tcBorders>
              <w:left w:val="single" w:color="auto" w:sz="4" w:space="0"/>
              <w:right w:val="single" w:color="auto" w:sz="4" w:space="0"/>
            </w:tcBorders>
            <w:noWrap w:val="0"/>
            <w:vAlign w:val="center"/>
          </w:tcPr>
          <w:p>
            <w:pPr>
              <w:widowControl/>
              <w:spacing w:line="360" w:lineRule="auto"/>
              <w:jc w:val="center"/>
              <w:textAlignment w:val="center"/>
              <w:rPr>
                <w:rFonts w:cs="宋体"/>
                <w:szCs w:val="21"/>
              </w:rPr>
            </w:pPr>
          </w:p>
        </w:tc>
        <w:tc>
          <w:tcPr>
            <w:tcW w:w="212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食品接触标识</w:t>
            </w:r>
          </w:p>
        </w:tc>
        <w:tc>
          <w:tcPr>
            <w:tcW w:w="1842"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GB 4806.1</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GB 4806.1</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672" w:type="dxa"/>
            <w:vMerge w:val="continue"/>
            <w:tcBorders>
              <w:left w:val="single" w:color="auto" w:sz="4" w:space="0"/>
              <w:right w:val="single" w:color="auto" w:sz="4" w:space="0"/>
            </w:tcBorders>
            <w:noWrap w:val="0"/>
            <w:vAlign w:val="center"/>
          </w:tcPr>
          <w:p>
            <w:pPr>
              <w:spacing w:line="360" w:lineRule="auto"/>
              <w:jc w:val="center"/>
              <w:textAlignment w:val="center"/>
              <w:rPr>
                <w:rFonts w:cs="宋体"/>
                <w:szCs w:val="21"/>
              </w:rPr>
            </w:pPr>
          </w:p>
        </w:tc>
        <w:tc>
          <w:tcPr>
            <w:tcW w:w="1421" w:type="dxa"/>
            <w:vMerge w:val="continue"/>
            <w:tcBorders>
              <w:left w:val="single" w:color="auto" w:sz="4" w:space="0"/>
              <w:right w:val="single" w:color="auto" w:sz="4" w:space="0"/>
            </w:tcBorders>
            <w:noWrap w:val="0"/>
            <w:vAlign w:val="center"/>
          </w:tcPr>
          <w:p>
            <w:pPr>
              <w:widowControl/>
              <w:spacing w:line="360" w:lineRule="auto"/>
              <w:jc w:val="center"/>
              <w:textAlignment w:val="center"/>
              <w:rPr>
                <w:rFonts w:cs="宋体"/>
                <w:szCs w:val="21"/>
              </w:rPr>
            </w:pPr>
          </w:p>
        </w:tc>
        <w:tc>
          <w:tcPr>
            <w:tcW w:w="2127"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特殊使用要求信息</w:t>
            </w:r>
          </w:p>
        </w:tc>
        <w:tc>
          <w:tcPr>
            <w:tcW w:w="1842"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GB 4806.1</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GB 4806.1</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672" w:type="dxa"/>
            <w:vMerge w:val="continue"/>
            <w:tcBorders>
              <w:left w:val="single" w:color="auto" w:sz="4" w:space="0"/>
              <w:right w:val="single" w:color="auto" w:sz="4" w:space="0"/>
            </w:tcBorders>
            <w:noWrap w:val="0"/>
            <w:vAlign w:val="center"/>
          </w:tcPr>
          <w:p>
            <w:pPr>
              <w:spacing w:line="360" w:lineRule="auto"/>
              <w:jc w:val="center"/>
              <w:textAlignment w:val="center"/>
              <w:rPr>
                <w:rFonts w:cs="宋体"/>
                <w:szCs w:val="21"/>
              </w:rPr>
            </w:pPr>
          </w:p>
        </w:tc>
        <w:tc>
          <w:tcPr>
            <w:tcW w:w="1421" w:type="dxa"/>
            <w:vMerge w:val="continue"/>
            <w:tcBorders>
              <w:left w:val="single" w:color="auto" w:sz="4" w:space="0"/>
              <w:right w:val="single" w:color="auto" w:sz="4" w:space="0"/>
            </w:tcBorders>
            <w:noWrap w:val="0"/>
            <w:vAlign w:val="center"/>
          </w:tcPr>
          <w:p>
            <w:pPr>
              <w:widowControl/>
              <w:spacing w:line="360" w:lineRule="auto"/>
              <w:jc w:val="center"/>
              <w:textAlignment w:val="center"/>
              <w:rPr>
                <w:rFonts w:cs="宋体"/>
                <w:szCs w:val="21"/>
              </w:rPr>
            </w:pPr>
          </w:p>
        </w:tc>
        <w:tc>
          <w:tcPr>
            <w:tcW w:w="2127" w:type="dxa"/>
            <w:tcBorders>
              <w:top w:val="single" w:color="auto" w:sz="4" w:space="0"/>
              <w:left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标识位置</w:t>
            </w:r>
          </w:p>
        </w:tc>
        <w:tc>
          <w:tcPr>
            <w:tcW w:w="1842" w:type="dxa"/>
            <w:tcBorders>
              <w:top w:val="single" w:color="auto" w:sz="4" w:space="0"/>
              <w:left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GB 4806.1</w:t>
            </w:r>
          </w:p>
        </w:tc>
        <w:tc>
          <w:tcPr>
            <w:tcW w:w="1374" w:type="dxa"/>
            <w:tcBorders>
              <w:top w:val="single" w:color="auto" w:sz="4" w:space="0"/>
              <w:left w:val="single" w:color="auto" w:sz="4" w:space="0"/>
              <w:right w:val="single" w:color="auto" w:sz="4" w:space="0"/>
            </w:tcBorders>
            <w:noWrap w:val="0"/>
            <w:vAlign w:val="center"/>
          </w:tcPr>
          <w:p>
            <w:pPr>
              <w:widowControl/>
              <w:spacing w:line="360" w:lineRule="auto"/>
              <w:jc w:val="center"/>
              <w:textAlignment w:val="center"/>
              <w:rPr>
                <w:rFonts w:cs="宋体"/>
                <w:szCs w:val="21"/>
              </w:rPr>
            </w:pPr>
            <w:r>
              <w:rPr>
                <w:rFonts w:hint="eastAsia" w:cs="宋体"/>
                <w:szCs w:val="21"/>
              </w:rPr>
              <w:t>GB 4806.1</w:t>
            </w:r>
          </w:p>
        </w:tc>
        <w:tc>
          <w:tcPr>
            <w:tcW w:w="1086" w:type="dxa"/>
            <w:tcBorders>
              <w:top w:val="single" w:color="auto" w:sz="4" w:space="0"/>
              <w:left w:val="single" w:color="auto" w:sz="4" w:space="0"/>
              <w:right w:val="single" w:color="auto" w:sz="4" w:space="0"/>
            </w:tcBorders>
            <w:noWrap w:val="0"/>
            <w:vAlign w:val="center"/>
          </w:tcPr>
          <w:p>
            <w:pPr>
              <w:spacing w:line="360" w:lineRule="auto"/>
              <w:jc w:val="center"/>
              <w:textAlignment w:val="center"/>
              <w:rPr>
                <w:rFonts w:cs="宋体"/>
                <w:szCs w:val="21"/>
              </w:rPr>
            </w:pPr>
            <w:r>
              <w:rPr>
                <w:rFonts w:hint="eastAsia" w:cs="宋体"/>
                <w:szCs w:val="21"/>
              </w:rPr>
              <w:t>/</w:t>
            </w:r>
          </w:p>
        </w:tc>
      </w:tr>
    </w:tbl>
    <w:p>
      <w:pPr>
        <w:adjustRightInd w:val="0"/>
        <w:snapToGrid w:val="0"/>
        <w:spacing w:line="360" w:lineRule="auto"/>
        <w:rPr>
          <w:color w:val="000000"/>
          <w:szCs w:val="21"/>
        </w:rPr>
      </w:pPr>
    </w:p>
    <w:p>
      <w:pPr>
        <w:adjustRightInd w:val="0"/>
        <w:snapToGrid w:val="0"/>
        <w:spacing w:line="360" w:lineRule="auto"/>
        <w:ind w:firstLine="420" w:firstLineChars="200"/>
        <w:rPr>
          <w:color w:val="000000"/>
          <w:szCs w:val="21"/>
        </w:rPr>
      </w:pPr>
      <w:r>
        <w:rPr>
          <w:rFonts w:hint="eastAsia"/>
          <w:color w:val="000000"/>
          <w:szCs w:val="21"/>
        </w:rPr>
        <w:t>执行企业标准、团体标准、地方标准的产品，检验项目参照上述内容执行。</w:t>
      </w:r>
    </w:p>
    <w:p>
      <w:pPr>
        <w:adjustRightInd w:val="0"/>
        <w:snapToGrid w:val="0"/>
        <w:spacing w:line="360" w:lineRule="auto"/>
        <w:ind w:firstLine="420" w:firstLineChars="200"/>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napToGrid w:val="0"/>
        <w:spacing w:line="360" w:lineRule="auto"/>
        <w:rPr>
          <w:rFonts w:hint="eastAsia"/>
          <w:b/>
          <w:color w:val="000000"/>
          <w:sz w:val="24"/>
        </w:rPr>
      </w:pPr>
    </w:p>
    <w:p>
      <w:pPr>
        <w:snapToGrid w:val="0"/>
        <w:spacing w:line="360" w:lineRule="auto"/>
        <w:rPr>
          <w:b/>
          <w:color w:val="000000"/>
          <w:sz w:val="24"/>
        </w:rPr>
      </w:pPr>
      <w:r>
        <w:rPr>
          <w:rFonts w:hint="eastAsia"/>
          <w:b/>
          <w:color w:val="000000"/>
          <w:sz w:val="24"/>
        </w:rPr>
        <w:t>3 判定规则</w:t>
      </w:r>
    </w:p>
    <w:p>
      <w:pPr>
        <w:snapToGrid w:val="0"/>
        <w:spacing w:line="360" w:lineRule="auto"/>
        <w:rPr>
          <w:rFonts w:ascii="宋体" w:hAnsi="宋体"/>
          <w:color w:val="000000"/>
          <w:szCs w:val="21"/>
        </w:rPr>
      </w:pPr>
      <w:r>
        <w:rPr>
          <w:rFonts w:hint="eastAsia" w:ascii="宋体" w:hAnsi="宋体"/>
          <w:color w:val="000000"/>
          <w:szCs w:val="21"/>
        </w:rPr>
        <w:t>3.1 依据标准</w:t>
      </w:r>
    </w:p>
    <w:p>
      <w:pPr>
        <w:snapToGrid w:val="0"/>
        <w:spacing w:line="360" w:lineRule="auto"/>
        <w:ind w:firstLine="420" w:firstLineChars="200"/>
        <w:rPr>
          <w:rFonts w:ascii="宋体" w:hAnsi="宋体"/>
          <w:color w:val="000000"/>
          <w:szCs w:val="21"/>
        </w:rPr>
      </w:pPr>
      <w:r>
        <w:rPr>
          <w:rFonts w:hint="eastAsia" w:ascii="宋体" w:hAnsi="宋体"/>
          <w:color w:val="000000"/>
          <w:szCs w:val="21"/>
        </w:rPr>
        <w:t>GB 4806.1-2016 食品安全国家标准  食品接触材料及制品通用安全要求</w:t>
      </w:r>
    </w:p>
    <w:p>
      <w:pPr>
        <w:snapToGrid w:val="0"/>
        <w:spacing w:line="360" w:lineRule="auto"/>
        <w:ind w:firstLine="420" w:firstLineChars="200"/>
        <w:rPr>
          <w:rFonts w:ascii="宋体" w:hAnsi="宋体"/>
          <w:color w:val="000000"/>
          <w:szCs w:val="21"/>
        </w:rPr>
      </w:pPr>
      <w:r>
        <w:rPr>
          <w:rFonts w:hint="eastAsia" w:ascii="宋体" w:hAnsi="宋体"/>
          <w:color w:val="000000"/>
          <w:szCs w:val="21"/>
        </w:rPr>
        <w:t>GB 4806.7-2016 食品安全国家标准  食品接触用塑料材料及制品</w:t>
      </w:r>
    </w:p>
    <w:p>
      <w:pPr>
        <w:snapToGrid w:val="0"/>
        <w:spacing w:line="360" w:lineRule="auto"/>
        <w:ind w:firstLine="420" w:firstLineChars="200"/>
        <w:rPr>
          <w:rFonts w:ascii="宋体" w:hAnsi="宋体"/>
          <w:color w:val="000000"/>
          <w:szCs w:val="21"/>
        </w:rPr>
      </w:pPr>
      <w:r>
        <w:rPr>
          <w:rFonts w:hint="eastAsia" w:ascii="宋体" w:hAnsi="宋体"/>
          <w:color w:val="000000"/>
          <w:szCs w:val="21"/>
        </w:rPr>
        <w:t>《中华人民共和国产品质量法》、《中华人民国和国食品安全法》、《中华人民共和国工业产品生产许可证管理条例》等法律法规。</w:t>
      </w:r>
    </w:p>
    <w:p>
      <w:pPr>
        <w:snapToGrid w:val="0"/>
        <w:spacing w:line="360" w:lineRule="auto"/>
        <w:ind w:firstLine="359" w:firstLineChars="171"/>
        <w:rPr>
          <w:rFonts w:hint="eastAsia" w:ascii="宋体" w:hAnsi="宋体" w:eastAsia="宋体"/>
          <w:color w:val="000000"/>
          <w:szCs w:val="21"/>
          <w:lang w:eastAsia="zh-CN"/>
        </w:rPr>
      </w:pPr>
      <w:r>
        <w:rPr>
          <w:rFonts w:hint="eastAsia" w:ascii="宋体" w:hAnsi="宋体"/>
          <w:color w:val="000000"/>
          <w:szCs w:val="21"/>
        </w:rPr>
        <w:t>现行有效的企业标准、团体标准、地方标准及产品明示质量要求</w:t>
      </w:r>
      <w:r>
        <w:rPr>
          <w:rFonts w:hint="eastAsia" w:ascii="宋体" w:hAnsi="宋体"/>
          <w:color w:val="000000"/>
          <w:szCs w:val="21"/>
          <w:lang w:eastAsia="zh-CN"/>
        </w:rPr>
        <w:t>。</w:t>
      </w:r>
      <w:bookmarkStart w:id="0" w:name="_GoBack"/>
      <w:bookmarkEnd w:id="0"/>
    </w:p>
    <w:p>
      <w:pPr>
        <w:snapToGrid w:val="0"/>
        <w:spacing w:line="360" w:lineRule="auto"/>
        <w:outlineLvl w:val="0"/>
        <w:rPr>
          <w:rFonts w:ascii="宋体" w:hAnsi="宋体"/>
          <w:color w:val="000000"/>
          <w:szCs w:val="21"/>
        </w:rPr>
      </w:pPr>
      <w:r>
        <w:rPr>
          <w:rFonts w:hint="eastAsia" w:ascii="宋体" w:hAnsi="宋体"/>
          <w:color w:val="000000"/>
          <w:szCs w:val="21"/>
        </w:rPr>
        <w:t>3.2判定原则</w:t>
      </w:r>
    </w:p>
    <w:p>
      <w:pPr>
        <w:snapToGrid w:val="0"/>
        <w:spacing w:line="360" w:lineRule="auto"/>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adjustRightInd w:val="0"/>
        <w:snapToGrid w:val="0"/>
        <w:spacing w:line="360" w:lineRule="auto"/>
        <w:ind w:firstLine="420" w:firstLineChars="200"/>
        <w:rPr>
          <w:rFonts w:ascii="黑体" w:hAnsi="宋体" w:eastAsia="黑体"/>
          <w:szCs w:val="21"/>
        </w:rPr>
      </w:pPr>
      <w:r>
        <w:rPr>
          <w:rFonts w:hint="eastAsia" w:ascii="宋体" w:hAnsi="宋体"/>
          <w:color w:val="000000"/>
          <w:szCs w:val="21"/>
        </w:rPr>
        <w:t>若被检产品明示的质量要求缺少本细则中检验项目依据的推荐性标准要求时，该项目不参与判定。</w:t>
      </w:r>
    </w:p>
    <w:p>
      <w:pPr>
        <w:keepNext w:val="0"/>
        <w:keepLines w:val="0"/>
        <w:pageBreakBefore w:val="0"/>
        <w:kinsoku/>
        <w:wordWrap/>
        <w:overflowPunct/>
        <w:topLinePunct w:val="0"/>
        <w:autoSpaceDE/>
        <w:autoSpaceDN/>
        <w:bidi w:val="0"/>
        <w:spacing w:line="360" w:lineRule="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3274222"/>
      <w:docPartObj>
        <w:docPartGallery w:val="autotext"/>
      </w:docPartObj>
    </w:sdtPr>
    <w:sdtContent>
      <w:p>
        <w:pPr>
          <w:pStyle w:val="2"/>
          <w:jc w:val="right"/>
        </w:pPr>
        <w:r>
          <w:fldChar w:fldCharType="begin"/>
        </w:r>
        <w:r>
          <w:instrText xml:space="preserve">PAGE   \* MERGEFORMAT</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841B4"/>
    <w:rsid w:val="00145A5A"/>
    <w:rsid w:val="00280532"/>
    <w:rsid w:val="00344C5E"/>
    <w:rsid w:val="004D2989"/>
    <w:rsid w:val="00676579"/>
    <w:rsid w:val="00784A72"/>
    <w:rsid w:val="00A52339"/>
    <w:rsid w:val="00A63010"/>
    <w:rsid w:val="00CA7969"/>
    <w:rsid w:val="00D01340"/>
    <w:rsid w:val="00E50FD0"/>
    <w:rsid w:val="00EE0225"/>
    <w:rsid w:val="00F8150B"/>
    <w:rsid w:val="00F841B4"/>
    <w:rsid w:val="57725DD2"/>
    <w:rsid w:val="57D606AA"/>
    <w:rsid w:val="5FFA5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208</Words>
  <Characters>1189</Characters>
  <Lines>9</Lines>
  <Paragraphs>2</Paragraphs>
  <TotalTime>2</TotalTime>
  <ScaleCrop>false</ScaleCrop>
  <LinksUpToDate>false</LinksUpToDate>
  <CharactersWithSpaces>1395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2019-07-12T00:37:00Z</dcterms:created>
  <dc:creator>陈卓辉</dc:creator>
  <cp:lastModifiedBy>陈卓辉</cp:lastModifiedBy>
  <dcterms:modified xsi:type="dcterms:W3CDTF">2021-07-12T04:55:52Z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